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4CD32" w14:textId="77777777" w:rsidR="008344F5" w:rsidRDefault="008344F5">
      <w:pPr>
        <w:spacing w:line="360" w:lineRule="auto"/>
        <w:jc w:val="center"/>
        <w:rPr>
          <w:rFonts w:ascii="Arial" w:hAnsi="Arial" w:cs="Arial"/>
          <w:b/>
          <w:color w:val="000000"/>
          <w:sz w:val="44"/>
        </w:rPr>
      </w:pPr>
    </w:p>
    <w:p w14:paraId="2AF0CB3C" w14:textId="77777777" w:rsidR="008344F5" w:rsidRDefault="004A30F6">
      <w:pPr>
        <w:spacing w:line="360" w:lineRule="auto"/>
        <w:jc w:val="center"/>
        <w:rPr>
          <w:rFonts w:ascii="Arial" w:hAnsi="Arial" w:cs="Arial"/>
          <w:b/>
          <w:color w:val="000000"/>
          <w:sz w:val="44"/>
        </w:rPr>
      </w:pPr>
      <w:r>
        <w:rPr>
          <w:rFonts w:ascii="Arial" w:hAnsi="Arial" w:cs="Arial" w:hint="eastAsia"/>
          <w:b/>
          <w:color w:val="000000"/>
          <w:sz w:val="44"/>
        </w:rPr>
        <w:t>中国实验动物学会</w:t>
      </w:r>
    </w:p>
    <w:p w14:paraId="72B18EFE" w14:textId="77777777" w:rsidR="008344F5" w:rsidRDefault="004A30F6">
      <w:pPr>
        <w:spacing w:line="360" w:lineRule="auto"/>
        <w:jc w:val="center"/>
        <w:rPr>
          <w:rFonts w:ascii="Arial" w:hAnsi="Arial" w:cs="Arial"/>
          <w:b/>
          <w:color w:val="000000"/>
          <w:sz w:val="44"/>
        </w:rPr>
      </w:pPr>
      <w:r>
        <w:rPr>
          <w:rFonts w:ascii="Arial" w:hAnsi="Arial" w:cs="Arial" w:hint="eastAsia"/>
          <w:b/>
          <w:color w:val="000000"/>
          <w:sz w:val="44"/>
        </w:rPr>
        <w:t>团体</w:t>
      </w:r>
      <w:r>
        <w:rPr>
          <w:rFonts w:ascii="Arial" w:hAnsi="Arial" w:cs="Arial"/>
          <w:b/>
          <w:color w:val="000000"/>
          <w:sz w:val="44"/>
        </w:rPr>
        <w:t>标准</w:t>
      </w:r>
    </w:p>
    <w:p w14:paraId="20C78A15" w14:textId="77777777" w:rsidR="008344F5" w:rsidRDefault="008344F5">
      <w:pPr>
        <w:spacing w:line="360" w:lineRule="auto"/>
        <w:jc w:val="center"/>
        <w:rPr>
          <w:rFonts w:ascii="Arial" w:hAnsi="Arial" w:cs="Arial"/>
          <w:b/>
          <w:color w:val="000000"/>
          <w:sz w:val="44"/>
        </w:rPr>
      </w:pPr>
    </w:p>
    <w:p w14:paraId="2208F902" w14:textId="692DDEA7" w:rsidR="008344F5" w:rsidRDefault="004A30F6">
      <w:pPr>
        <w:spacing w:line="360" w:lineRule="auto"/>
        <w:jc w:val="left"/>
        <w:rPr>
          <w:rFonts w:ascii="Arial" w:hAnsi="Arial" w:cs="Arial"/>
          <w:b/>
          <w:color w:val="000000"/>
          <w:sz w:val="40"/>
          <w:szCs w:val="40"/>
        </w:rPr>
      </w:pPr>
      <w:r>
        <w:rPr>
          <w:rFonts w:ascii="Arial" w:hAnsi="Arial" w:cs="Arial"/>
          <w:b/>
          <w:color w:val="000000"/>
          <w:sz w:val="40"/>
          <w:szCs w:val="40"/>
        </w:rPr>
        <w:t>《实验动物</w:t>
      </w:r>
      <w:r>
        <w:rPr>
          <w:rFonts w:ascii="Arial" w:hAnsi="Arial" w:cs="Arial"/>
          <w:b/>
          <w:color w:val="000000"/>
          <w:sz w:val="40"/>
          <w:szCs w:val="40"/>
        </w:rPr>
        <w:t xml:space="preserve"> </w:t>
      </w:r>
      <w:r>
        <w:rPr>
          <w:rFonts w:ascii="Arial" w:hAnsi="Arial" w:cs="Arial" w:hint="eastAsia"/>
          <w:b/>
          <w:color w:val="000000"/>
          <w:sz w:val="40"/>
          <w:szCs w:val="40"/>
        </w:rPr>
        <w:t>长爪沙鼠脑缺血再灌注模型制备与评价规范</w:t>
      </w:r>
      <w:r>
        <w:rPr>
          <w:rFonts w:ascii="Arial" w:hAnsi="Arial" w:cs="Arial"/>
          <w:b/>
          <w:color w:val="000000"/>
          <w:sz w:val="40"/>
          <w:szCs w:val="40"/>
        </w:rPr>
        <w:t>》</w:t>
      </w:r>
    </w:p>
    <w:p w14:paraId="4D45901A" w14:textId="77777777" w:rsidR="008344F5" w:rsidRDefault="008344F5">
      <w:pPr>
        <w:spacing w:line="360" w:lineRule="auto"/>
        <w:jc w:val="center"/>
        <w:rPr>
          <w:rFonts w:ascii="Arial" w:hAnsi="Arial" w:cs="Arial"/>
          <w:b/>
          <w:color w:val="000000"/>
          <w:sz w:val="48"/>
          <w:szCs w:val="48"/>
        </w:rPr>
      </w:pPr>
    </w:p>
    <w:p w14:paraId="00B60F23" w14:textId="77777777" w:rsidR="008344F5" w:rsidRDefault="004A30F6">
      <w:pPr>
        <w:spacing w:line="360" w:lineRule="auto"/>
        <w:jc w:val="center"/>
        <w:rPr>
          <w:rFonts w:ascii="Arial" w:hAnsi="Arial" w:cs="Arial"/>
          <w:b/>
          <w:color w:val="000000"/>
          <w:sz w:val="48"/>
          <w:szCs w:val="48"/>
        </w:rPr>
      </w:pPr>
      <w:r>
        <w:rPr>
          <w:rFonts w:ascii="Arial" w:hAnsi="Arial" w:cs="Arial"/>
          <w:b/>
          <w:color w:val="000000"/>
          <w:sz w:val="48"/>
          <w:szCs w:val="48"/>
        </w:rPr>
        <w:t>编制说明</w:t>
      </w:r>
    </w:p>
    <w:p w14:paraId="636F7573" w14:textId="77777777" w:rsidR="008344F5" w:rsidRDefault="008344F5">
      <w:pPr>
        <w:spacing w:line="360" w:lineRule="auto"/>
        <w:jc w:val="center"/>
        <w:rPr>
          <w:rFonts w:ascii="Arial" w:hAnsi="Arial" w:cs="Arial"/>
          <w:b/>
          <w:color w:val="000000"/>
          <w:sz w:val="44"/>
        </w:rPr>
      </w:pPr>
    </w:p>
    <w:p w14:paraId="45F99E69" w14:textId="77777777" w:rsidR="008344F5" w:rsidRDefault="008344F5">
      <w:pPr>
        <w:spacing w:line="360" w:lineRule="auto"/>
        <w:jc w:val="center"/>
        <w:rPr>
          <w:rFonts w:ascii="Arial" w:hAnsi="Arial" w:cs="Arial"/>
          <w:b/>
          <w:color w:val="000000"/>
          <w:sz w:val="44"/>
        </w:rPr>
      </w:pPr>
    </w:p>
    <w:p w14:paraId="143EFB16" w14:textId="77777777" w:rsidR="008344F5" w:rsidRDefault="008344F5">
      <w:pPr>
        <w:spacing w:line="360" w:lineRule="auto"/>
        <w:jc w:val="center"/>
        <w:rPr>
          <w:rFonts w:ascii="Arial" w:hAnsi="Arial" w:cs="Arial"/>
          <w:b/>
          <w:color w:val="000000"/>
          <w:sz w:val="44"/>
        </w:rPr>
      </w:pPr>
    </w:p>
    <w:p w14:paraId="4F3345C5" w14:textId="77777777" w:rsidR="008344F5" w:rsidRDefault="008344F5">
      <w:pPr>
        <w:spacing w:line="360" w:lineRule="auto"/>
        <w:jc w:val="center"/>
        <w:rPr>
          <w:rFonts w:ascii="Arial" w:hAnsi="Arial" w:cs="Arial"/>
          <w:b/>
          <w:color w:val="000000"/>
          <w:sz w:val="44"/>
        </w:rPr>
      </w:pPr>
    </w:p>
    <w:p w14:paraId="7D087B0B" w14:textId="77777777" w:rsidR="008344F5" w:rsidRDefault="004A30F6">
      <w:pPr>
        <w:jc w:val="center"/>
        <w:rPr>
          <w:rFonts w:ascii="宋体" w:hAnsi="宋体" w:hint="eastAsia"/>
          <w:b/>
          <w:sz w:val="28"/>
          <w:szCs w:val="28"/>
        </w:rPr>
      </w:pPr>
      <w:r>
        <w:rPr>
          <w:rFonts w:ascii="宋体" w:hAnsi="宋体" w:hint="eastAsia"/>
          <w:b/>
          <w:sz w:val="28"/>
          <w:szCs w:val="28"/>
        </w:rPr>
        <w:t>联 系 人：杜小燕</w:t>
      </w:r>
    </w:p>
    <w:p w14:paraId="49654517" w14:textId="1039CBA9" w:rsidR="008344F5" w:rsidRDefault="004A30F6">
      <w:pPr>
        <w:jc w:val="center"/>
        <w:rPr>
          <w:rFonts w:ascii="宋体" w:hAnsi="宋体" w:hint="eastAsia"/>
          <w:b/>
          <w:sz w:val="28"/>
          <w:szCs w:val="28"/>
        </w:rPr>
      </w:pPr>
      <w:r>
        <w:rPr>
          <w:rFonts w:ascii="宋体" w:hAnsi="宋体" w:hint="eastAsia"/>
          <w:b/>
          <w:sz w:val="28"/>
          <w:szCs w:val="28"/>
        </w:rPr>
        <w:t>联系电话：8</w:t>
      </w:r>
      <w:r>
        <w:rPr>
          <w:rFonts w:ascii="宋体" w:hAnsi="宋体"/>
          <w:b/>
          <w:sz w:val="28"/>
          <w:szCs w:val="28"/>
        </w:rPr>
        <w:t>39504</w:t>
      </w:r>
      <w:r w:rsidR="00F3349F">
        <w:rPr>
          <w:rFonts w:ascii="宋体" w:hAnsi="宋体" w:hint="eastAsia"/>
          <w:b/>
          <w:sz w:val="28"/>
          <w:szCs w:val="28"/>
        </w:rPr>
        <w:t>2</w:t>
      </w:r>
      <w:r>
        <w:rPr>
          <w:rFonts w:ascii="宋体" w:hAnsi="宋体"/>
          <w:b/>
          <w:sz w:val="28"/>
          <w:szCs w:val="28"/>
        </w:rPr>
        <w:t>3</w:t>
      </w:r>
    </w:p>
    <w:p w14:paraId="4D185301" w14:textId="77777777" w:rsidR="008344F5" w:rsidRDefault="004A30F6">
      <w:pPr>
        <w:jc w:val="center"/>
        <w:rPr>
          <w:rFonts w:ascii="宋体" w:hAnsi="宋体" w:hint="eastAsia"/>
          <w:b/>
          <w:sz w:val="28"/>
          <w:szCs w:val="28"/>
        </w:rPr>
      </w:pPr>
      <w:r>
        <w:rPr>
          <w:rFonts w:ascii="宋体" w:hAnsi="宋体" w:hint="eastAsia"/>
          <w:b/>
          <w:sz w:val="28"/>
          <w:szCs w:val="28"/>
        </w:rPr>
        <w:t>编制单位：</w:t>
      </w:r>
    </w:p>
    <w:p w14:paraId="39352A6D" w14:textId="77777777" w:rsidR="008344F5" w:rsidRDefault="004A30F6">
      <w:pPr>
        <w:jc w:val="center"/>
        <w:rPr>
          <w:rFonts w:ascii="宋体" w:hAnsi="宋体" w:hint="eastAsia"/>
          <w:b/>
          <w:sz w:val="28"/>
          <w:szCs w:val="28"/>
        </w:rPr>
      </w:pPr>
      <w:r>
        <w:rPr>
          <w:rFonts w:ascii="宋体" w:hAnsi="宋体" w:hint="eastAsia"/>
          <w:b/>
          <w:sz w:val="28"/>
          <w:szCs w:val="28"/>
        </w:rPr>
        <w:t>首都医科大学，中国农业大学动物医学院</w:t>
      </w:r>
    </w:p>
    <w:p w14:paraId="47A96200" w14:textId="77777777" w:rsidR="008344F5" w:rsidRDefault="004A30F6">
      <w:pPr>
        <w:jc w:val="center"/>
        <w:rPr>
          <w:rFonts w:ascii="宋体" w:hAnsi="宋体" w:hint="eastAsia"/>
          <w:b/>
          <w:sz w:val="28"/>
          <w:szCs w:val="28"/>
        </w:rPr>
      </w:pPr>
      <w:r>
        <w:rPr>
          <w:rFonts w:ascii="宋体" w:hAnsi="宋体" w:hint="eastAsia"/>
          <w:b/>
          <w:sz w:val="28"/>
          <w:szCs w:val="28"/>
        </w:rPr>
        <w:t>时     间： 年  月  日</w:t>
      </w:r>
    </w:p>
    <w:p w14:paraId="48218200" w14:textId="77777777" w:rsidR="008344F5" w:rsidRDefault="004A30F6">
      <w:r>
        <w:rPr>
          <w:rFonts w:hint="eastAsia"/>
        </w:rPr>
        <w:br w:type="page"/>
      </w:r>
    </w:p>
    <w:p w14:paraId="48851856" w14:textId="283206DF" w:rsidR="008344F5" w:rsidRDefault="004A30F6">
      <w:pPr>
        <w:spacing w:line="360" w:lineRule="auto"/>
        <w:jc w:val="center"/>
        <w:rPr>
          <w:rFonts w:ascii="黑体" w:eastAsia="黑体" w:hAnsi="华文宋体" w:hint="eastAsia"/>
          <w:b/>
          <w:sz w:val="32"/>
          <w:szCs w:val="32"/>
        </w:rPr>
      </w:pPr>
      <w:r>
        <w:rPr>
          <w:rFonts w:ascii="华文宋体" w:eastAsia="华文宋体" w:hAnsi="华文宋体" w:hint="eastAsia"/>
          <w:b/>
          <w:sz w:val="32"/>
          <w:szCs w:val="32"/>
        </w:rPr>
        <w:lastRenderedPageBreak/>
        <w:t>中国实验动物学会团体标准《实验动物长爪沙鼠脑缺血再灌注模型制备与评价规范》编制说明</w:t>
      </w:r>
    </w:p>
    <w:p w14:paraId="35036905" w14:textId="77777777" w:rsidR="008344F5" w:rsidRDefault="004A30F6">
      <w:pPr>
        <w:spacing w:line="360" w:lineRule="auto"/>
        <w:rPr>
          <w:rFonts w:ascii="黑体" w:eastAsia="黑体" w:hAnsi="华文宋体" w:hint="eastAsia"/>
          <w:sz w:val="24"/>
        </w:rPr>
      </w:pPr>
      <w:r>
        <w:rPr>
          <w:rFonts w:ascii="宋体" w:eastAsia="黑体" w:hAnsi="宋体" w:hint="eastAsia"/>
          <w:sz w:val="24"/>
        </w:rPr>
        <w:t>一、</w:t>
      </w:r>
      <w:r>
        <w:rPr>
          <w:rFonts w:ascii="黑体" w:eastAsia="黑体" w:hAnsi="华文宋体" w:hint="eastAsia"/>
          <w:sz w:val="24"/>
        </w:rPr>
        <w:t xml:space="preserve">　任务来源</w:t>
      </w:r>
    </w:p>
    <w:p w14:paraId="5EE0AD1F" w14:textId="77777777" w:rsidR="008344F5" w:rsidRDefault="004A30F6">
      <w:pPr>
        <w:spacing w:line="360" w:lineRule="auto"/>
        <w:ind w:firstLineChars="200" w:firstLine="480"/>
        <w:rPr>
          <w:rFonts w:ascii="宋体" w:hAnsi="宋体" w:hint="eastAsia"/>
          <w:sz w:val="24"/>
        </w:rPr>
      </w:pPr>
      <w:r>
        <w:rPr>
          <w:rFonts w:ascii="宋体" w:hAnsi="宋体" w:hint="eastAsia"/>
          <w:sz w:val="24"/>
        </w:rPr>
        <w:t>针对长爪沙鼠作为脑缺血实验动物中缺乏半脑缺血再灌注模型的具体制备和评价标准，本研究提出了该标准的制定。</w:t>
      </w:r>
      <w:r>
        <w:rPr>
          <w:rFonts w:ascii="宋体" w:hAnsi="宋体" w:cs="宋体"/>
          <w:sz w:val="24"/>
        </w:rPr>
        <w:t>本研究对长爪沙鼠单侧颈总动脉结扎</w:t>
      </w:r>
      <w:r>
        <w:rPr>
          <w:rFonts w:ascii="宋体" w:hAnsi="宋体" w:cs="宋体" w:hint="eastAsia"/>
          <w:sz w:val="24"/>
        </w:rPr>
        <w:t>缺血再灌注（I/R）</w:t>
      </w:r>
      <w:r>
        <w:rPr>
          <w:rFonts w:ascii="宋体" w:hAnsi="宋体" w:cs="宋体"/>
          <w:sz w:val="24"/>
        </w:rPr>
        <w:t>模型总结了完整的方法论，建立了长爪沙鼠I/R模型的标准化体系，为其</w:t>
      </w:r>
      <w:r>
        <w:rPr>
          <w:rFonts w:ascii="宋体" w:hAnsi="宋体" w:cs="宋体" w:hint="eastAsia"/>
          <w:sz w:val="24"/>
        </w:rPr>
        <w:t>更广泛的</w:t>
      </w:r>
      <w:r>
        <w:rPr>
          <w:rFonts w:ascii="宋体" w:hAnsi="宋体" w:cs="宋体"/>
          <w:sz w:val="24"/>
        </w:rPr>
        <w:t>应用提供了新的可能性。</w:t>
      </w:r>
    </w:p>
    <w:p w14:paraId="6C5E62F7" w14:textId="77777777" w:rsidR="008344F5" w:rsidRDefault="004A30F6">
      <w:pPr>
        <w:spacing w:line="360" w:lineRule="auto"/>
        <w:rPr>
          <w:rFonts w:ascii="宋体" w:eastAsia="黑体" w:hAnsi="宋体" w:hint="eastAsia"/>
          <w:sz w:val="24"/>
        </w:rPr>
      </w:pPr>
      <w:r>
        <w:rPr>
          <w:rFonts w:ascii="宋体" w:eastAsia="黑体" w:hAnsi="宋体" w:hint="eastAsia"/>
          <w:sz w:val="24"/>
        </w:rPr>
        <w:t>二、主要工作过程</w:t>
      </w:r>
    </w:p>
    <w:p w14:paraId="7C077C5D" w14:textId="77777777" w:rsidR="008344F5" w:rsidRDefault="004A30F6">
      <w:pPr>
        <w:spacing w:line="360" w:lineRule="auto"/>
        <w:ind w:firstLineChars="200" w:firstLine="480"/>
        <w:rPr>
          <w:rFonts w:ascii="宋体" w:hAnsi="宋体" w:hint="eastAsia"/>
          <w:sz w:val="24"/>
        </w:rPr>
      </w:pPr>
      <w:r>
        <w:rPr>
          <w:rFonts w:ascii="宋体" w:hAnsi="宋体" w:cs="宋体" w:hint="eastAsia"/>
          <w:sz w:val="24"/>
        </w:rPr>
        <w:t>利用</w:t>
      </w:r>
      <w:r>
        <w:rPr>
          <w:rFonts w:ascii="宋体" w:hAnsi="宋体" w:cs="宋体"/>
          <w:sz w:val="24"/>
        </w:rPr>
        <w:t>57只</w:t>
      </w:r>
      <w:r>
        <w:rPr>
          <w:rFonts w:ascii="宋体" w:hAnsi="宋体" w:cs="宋体" w:hint="eastAsia"/>
          <w:sz w:val="24"/>
        </w:rPr>
        <w:t>脑缺血高发近交系</w:t>
      </w:r>
      <w:r>
        <w:rPr>
          <w:rFonts w:ascii="宋体" w:hAnsi="宋体" w:cs="宋体"/>
          <w:sz w:val="24"/>
        </w:rPr>
        <w:t>长爪沙鼠</w:t>
      </w:r>
      <w:r>
        <w:rPr>
          <w:rFonts w:ascii="宋体" w:hAnsi="宋体" w:cs="宋体" w:hint="eastAsia"/>
          <w:sz w:val="24"/>
        </w:rPr>
        <w:t>（CIMG），</w:t>
      </w:r>
      <w:r>
        <w:rPr>
          <w:rFonts w:ascii="宋体" w:hAnsi="宋体" w:cs="宋体"/>
          <w:sz w:val="24"/>
        </w:rPr>
        <w:t>通过单侧颈总动脉结扎引发半脑缺血，</w:t>
      </w:r>
      <w:r>
        <w:rPr>
          <w:rFonts w:ascii="宋体" w:hAnsi="宋体" w:cs="宋体" w:hint="eastAsia"/>
          <w:sz w:val="24"/>
        </w:rPr>
        <w:t>打开</w:t>
      </w:r>
      <w:r>
        <w:rPr>
          <w:rFonts w:ascii="宋体" w:hAnsi="宋体" w:cs="宋体"/>
          <w:sz w:val="24"/>
        </w:rPr>
        <w:t>活结实现</w:t>
      </w:r>
      <w:proofErr w:type="gramStart"/>
      <w:r>
        <w:rPr>
          <w:rFonts w:ascii="宋体" w:hAnsi="宋体" w:cs="宋体"/>
          <w:sz w:val="24"/>
        </w:rPr>
        <w:t>即时再</w:t>
      </w:r>
      <w:proofErr w:type="gramEnd"/>
      <w:r>
        <w:rPr>
          <w:rFonts w:ascii="宋体" w:hAnsi="宋体" w:cs="宋体"/>
          <w:sz w:val="24"/>
        </w:rPr>
        <w:t>灌注；同时总结了I/R</w:t>
      </w:r>
      <w:proofErr w:type="gramStart"/>
      <w:r>
        <w:rPr>
          <w:rFonts w:ascii="宋体" w:hAnsi="宋体" w:cs="宋体"/>
          <w:sz w:val="24"/>
        </w:rPr>
        <w:t>后动物</w:t>
      </w:r>
      <w:proofErr w:type="gramEnd"/>
      <w:r>
        <w:rPr>
          <w:rFonts w:ascii="宋体" w:hAnsi="宋体" w:cs="宋体"/>
          <w:sz w:val="24"/>
        </w:rPr>
        <w:t>症状变化，拟定了详细的评分标准，建立了以症状为导向的再灌注模型制备方法。我们在模型动物再灌注不同时间</w:t>
      </w:r>
      <w:r>
        <w:rPr>
          <w:rFonts w:ascii="宋体" w:hAnsi="宋体" w:cs="宋体" w:hint="eastAsia"/>
          <w:sz w:val="24"/>
        </w:rPr>
        <w:t>点</w:t>
      </w:r>
      <w:r>
        <w:rPr>
          <w:rFonts w:ascii="宋体" w:hAnsi="宋体" w:cs="宋体"/>
          <w:sz w:val="24"/>
        </w:rPr>
        <w:t>，</w:t>
      </w:r>
      <w:proofErr w:type="gramStart"/>
      <w:r>
        <w:rPr>
          <w:rFonts w:ascii="宋体" w:hAnsi="宋体" w:cs="宋体"/>
          <w:sz w:val="24"/>
        </w:rPr>
        <w:t>通过转棒实验</w:t>
      </w:r>
      <w:proofErr w:type="gramEnd"/>
      <w:r>
        <w:rPr>
          <w:rFonts w:ascii="宋体" w:hAnsi="宋体" w:cs="宋体"/>
          <w:sz w:val="24"/>
        </w:rPr>
        <w:t>、抓力评分来评估运动能力变化，TTC染色判定梗死灶大小；H&amp;E和Nissl染色评估组织病理学变化和神经元死亡情况。对长爪沙鼠单侧颈总动脉结扎I/R模型总结了完整的方法论，建立了长爪沙鼠I/R模型的标准化体系</w:t>
      </w:r>
      <w:r>
        <w:rPr>
          <w:rFonts w:ascii="宋体" w:hAnsi="宋体" w:cs="宋体" w:hint="eastAsia"/>
          <w:sz w:val="24"/>
        </w:rPr>
        <w:t>。</w:t>
      </w:r>
    </w:p>
    <w:p w14:paraId="463AE582" w14:textId="77777777" w:rsidR="008344F5" w:rsidRDefault="004A30F6">
      <w:pPr>
        <w:spacing w:line="360" w:lineRule="auto"/>
        <w:rPr>
          <w:rFonts w:ascii="宋体" w:eastAsia="黑体" w:hAnsi="宋体" w:hint="eastAsia"/>
          <w:sz w:val="24"/>
        </w:rPr>
      </w:pPr>
      <w:r>
        <w:rPr>
          <w:rFonts w:ascii="宋体" w:eastAsia="黑体" w:hAnsi="宋体" w:hint="eastAsia"/>
          <w:sz w:val="24"/>
        </w:rPr>
        <w:t>三、标准编制背景</w:t>
      </w:r>
    </w:p>
    <w:p w14:paraId="5C839174" w14:textId="77777777" w:rsidR="008344F5" w:rsidRDefault="004A30F6">
      <w:pPr>
        <w:pStyle w:val="AA"/>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440" w:lineRule="exact"/>
        <w:ind w:firstLine="465"/>
        <w:rPr>
          <w:rFonts w:ascii="Times New Roman" w:eastAsia="宋体" w:hAnsi="宋体" w:hint="eastAsia"/>
          <w:sz w:val="24"/>
          <w:szCs w:val="24"/>
        </w:rPr>
      </w:pPr>
      <w:r>
        <w:rPr>
          <w:rFonts w:ascii="Times New Roman" w:eastAsia="宋体" w:hAnsi="宋体" w:hint="eastAsia"/>
          <w:kern w:val="0"/>
          <w:sz w:val="24"/>
          <w:szCs w:val="24"/>
        </w:rPr>
        <w:t>长爪沙鼠（</w:t>
      </w:r>
      <w:r>
        <w:rPr>
          <w:rFonts w:ascii="Times New Roman" w:eastAsia="宋体" w:hAnsi="宋体" w:hint="eastAsia"/>
          <w:kern w:val="0"/>
          <w:sz w:val="24"/>
          <w:szCs w:val="24"/>
        </w:rPr>
        <w:t xml:space="preserve">Meriones </w:t>
      </w:r>
      <w:proofErr w:type="spellStart"/>
      <w:r>
        <w:rPr>
          <w:rFonts w:ascii="Times New Roman" w:eastAsia="宋体" w:hAnsi="宋体" w:hint="eastAsia"/>
          <w:kern w:val="0"/>
          <w:sz w:val="24"/>
          <w:szCs w:val="24"/>
        </w:rPr>
        <w:t>unguiculatus</w:t>
      </w:r>
      <w:proofErr w:type="spellEnd"/>
      <w:r>
        <w:rPr>
          <w:rFonts w:ascii="Times New Roman" w:eastAsia="宋体" w:hAnsi="宋体" w:hint="eastAsia"/>
          <w:kern w:val="0"/>
          <w:sz w:val="24"/>
          <w:szCs w:val="24"/>
        </w:rPr>
        <w:t>）属于仓鼠科，沙鼠亚科，沙鼠属的啮齿类动物，从上世纪开始作为实验动物应用于生物医学研究中，广泛地应用于脑神经、寄生虫病、微生物、生殖、内分泌、营养、代谢及药理、肿瘤（胃癌）、癫痫、听觉和焦虑症等诸多领域研究，被称为“多功能实验动物”。因其脑底交通动脉</w:t>
      </w:r>
      <w:r>
        <w:rPr>
          <w:rFonts w:ascii="Times New Roman" w:eastAsia="宋体" w:hAnsi="宋体" w:hint="eastAsia"/>
          <w:kern w:val="0"/>
          <w:sz w:val="24"/>
          <w:szCs w:val="24"/>
        </w:rPr>
        <w:t>Willis</w:t>
      </w:r>
      <w:r>
        <w:rPr>
          <w:rFonts w:ascii="Times New Roman" w:eastAsia="宋体" w:hAnsi="宋体" w:hint="eastAsia"/>
          <w:kern w:val="0"/>
          <w:sz w:val="24"/>
          <w:szCs w:val="24"/>
        </w:rPr>
        <w:t>环天然存在不同程度缺失的特性，长爪沙鼠逐渐在脑缺血动物模型的研究中脱颖而出。通过简单的单侧或双侧颈动脉结扎，便可以制备不同程度的单侧或双侧大脑缺血模型。目前双侧颈总动脉结扎（</w:t>
      </w:r>
      <w:r>
        <w:rPr>
          <w:rFonts w:ascii="Times New Roman" w:eastAsia="宋体" w:hAnsi="宋体" w:hint="eastAsia"/>
          <w:kern w:val="0"/>
          <w:sz w:val="24"/>
          <w:szCs w:val="24"/>
        </w:rPr>
        <w:t>bilateral carotid arterial occlusion, BCO</w:t>
      </w:r>
      <w:r>
        <w:rPr>
          <w:rFonts w:ascii="Times New Roman" w:eastAsia="宋体" w:hAnsi="宋体" w:hint="eastAsia"/>
          <w:kern w:val="0"/>
          <w:sz w:val="24"/>
          <w:szCs w:val="24"/>
        </w:rPr>
        <w:t>）制备长爪沙鼠全脑缺血模型的研究较多，因</w:t>
      </w:r>
      <w:r>
        <w:rPr>
          <w:rFonts w:ascii="Times New Roman" w:eastAsia="宋体" w:hAnsi="宋体" w:hint="eastAsia"/>
          <w:kern w:val="0"/>
          <w:sz w:val="24"/>
          <w:szCs w:val="24"/>
        </w:rPr>
        <w:t>Willis</w:t>
      </w:r>
      <w:r>
        <w:rPr>
          <w:rFonts w:ascii="Times New Roman" w:eastAsia="宋体" w:hAnsi="宋体" w:hint="eastAsia"/>
          <w:kern w:val="0"/>
          <w:sz w:val="24"/>
          <w:szCs w:val="24"/>
        </w:rPr>
        <w:t>环缺失类型复杂，单侧颈总动脉结扎（</w:t>
      </w:r>
      <w:r>
        <w:rPr>
          <w:rFonts w:ascii="Times New Roman" w:eastAsia="宋体" w:hAnsi="宋体" w:hint="eastAsia"/>
          <w:kern w:val="0"/>
          <w:sz w:val="24"/>
          <w:szCs w:val="24"/>
        </w:rPr>
        <w:t>unilateral carotid arterial occlusion, UCO</w:t>
      </w:r>
      <w:r>
        <w:rPr>
          <w:rFonts w:ascii="Times New Roman" w:eastAsia="宋体" w:hAnsi="宋体" w:hint="eastAsia"/>
          <w:kern w:val="0"/>
          <w:sz w:val="24"/>
          <w:szCs w:val="24"/>
        </w:rPr>
        <w:t>）造模的成功率低、稳定性差。近年我们通过定向近交筛选成功培育了长爪沙鼠脑缺血近交系，显著地将</w:t>
      </w:r>
      <w:r>
        <w:rPr>
          <w:rFonts w:ascii="Times New Roman" w:eastAsia="宋体" w:hAnsi="宋体" w:hint="eastAsia"/>
          <w:kern w:val="0"/>
          <w:sz w:val="24"/>
          <w:szCs w:val="24"/>
        </w:rPr>
        <w:t>BCO</w:t>
      </w:r>
      <w:r>
        <w:rPr>
          <w:rFonts w:ascii="Times New Roman" w:eastAsia="宋体" w:hAnsi="宋体" w:hint="eastAsia"/>
          <w:kern w:val="0"/>
          <w:sz w:val="24"/>
          <w:szCs w:val="24"/>
        </w:rPr>
        <w:t>模型成功率提高至</w:t>
      </w:r>
      <w:r>
        <w:rPr>
          <w:rFonts w:ascii="Times New Roman" w:eastAsia="宋体" w:hAnsi="宋体" w:hint="eastAsia"/>
          <w:kern w:val="0"/>
          <w:sz w:val="24"/>
          <w:szCs w:val="24"/>
        </w:rPr>
        <w:t>80%</w:t>
      </w:r>
      <w:r>
        <w:rPr>
          <w:rFonts w:ascii="Times New Roman" w:eastAsia="宋体" w:hAnsi="宋体" w:hint="eastAsia"/>
          <w:kern w:val="0"/>
          <w:sz w:val="24"/>
          <w:szCs w:val="24"/>
        </w:rPr>
        <w:t>以上。但这一模型却不适用于</w:t>
      </w:r>
      <w:r>
        <w:rPr>
          <w:rFonts w:ascii="Times New Roman" w:eastAsia="宋体" w:hAnsi="宋体" w:hint="eastAsia"/>
          <w:kern w:val="0"/>
          <w:sz w:val="24"/>
          <w:szCs w:val="24"/>
        </w:rPr>
        <w:t>I/R</w:t>
      </w:r>
      <w:r>
        <w:rPr>
          <w:rFonts w:ascii="Times New Roman" w:eastAsia="宋体" w:hAnsi="宋体" w:hint="eastAsia"/>
          <w:kern w:val="0"/>
          <w:sz w:val="24"/>
          <w:szCs w:val="24"/>
        </w:rPr>
        <w:t>所引起的继发神经损伤研究，而</w:t>
      </w:r>
      <w:r>
        <w:rPr>
          <w:rFonts w:ascii="Times New Roman" w:eastAsia="宋体" w:hAnsi="宋体" w:hint="eastAsia"/>
          <w:kern w:val="0"/>
          <w:sz w:val="24"/>
          <w:szCs w:val="24"/>
        </w:rPr>
        <w:t>I/R</w:t>
      </w:r>
      <w:r>
        <w:rPr>
          <w:rFonts w:ascii="Times New Roman" w:eastAsia="宋体" w:hAnsi="宋体" w:hint="eastAsia"/>
          <w:kern w:val="0"/>
          <w:sz w:val="24"/>
          <w:szCs w:val="24"/>
        </w:rPr>
        <w:t>损伤修复对于卒中患者溶栓后的生理病理恢复与治疗靶点探索有着深刻的意义，因此长爪沙鼠的</w:t>
      </w:r>
      <w:r>
        <w:rPr>
          <w:rFonts w:ascii="Times New Roman" w:eastAsia="宋体" w:hAnsi="宋体" w:hint="eastAsia"/>
          <w:kern w:val="0"/>
          <w:sz w:val="24"/>
          <w:szCs w:val="24"/>
        </w:rPr>
        <w:t>I/R</w:t>
      </w:r>
      <w:r>
        <w:rPr>
          <w:rFonts w:ascii="Times New Roman" w:eastAsia="宋体" w:hAnsi="宋体" w:hint="eastAsia"/>
          <w:kern w:val="0"/>
          <w:sz w:val="24"/>
          <w:szCs w:val="24"/>
        </w:rPr>
        <w:t>模型的开发和标准化体系的建立亟待完</w:t>
      </w:r>
      <w:r>
        <w:rPr>
          <w:rFonts w:ascii="Times New Roman" w:eastAsia="宋体" w:hAnsi="宋体" w:hint="eastAsia"/>
          <w:kern w:val="0"/>
          <w:sz w:val="24"/>
          <w:szCs w:val="24"/>
        </w:rPr>
        <w:lastRenderedPageBreak/>
        <w:t>成。</w:t>
      </w:r>
    </w:p>
    <w:p w14:paraId="3E6FF831" w14:textId="77777777" w:rsidR="008344F5" w:rsidRDefault="004A30F6">
      <w:pPr>
        <w:spacing w:line="360" w:lineRule="auto"/>
        <w:rPr>
          <w:rFonts w:ascii="宋体" w:eastAsia="黑体" w:hAnsi="宋体" w:hint="eastAsia"/>
          <w:sz w:val="24"/>
        </w:rPr>
      </w:pPr>
      <w:r>
        <w:rPr>
          <w:rFonts w:ascii="宋体" w:eastAsia="黑体" w:hAnsi="宋体" w:hint="eastAsia"/>
          <w:sz w:val="24"/>
        </w:rPr>
        <w:t>四、</w:t>
      </w:r>
      <w:r>
        <w:rPr>
          <w:rFonts w:ascii="宋体" w:eastAsia="黑体" w:hAnsi="宋体" w:hint="eastAsia"/>
          <w:sz w:val="24"/>
        </w:rPr>
        <w:t xml:space="preserve"> </w:t>
      </w:r>
      <w:r>
        <w:rPr>
          <w:rFonts w:ascii="宋体" w:eastAsia="黑体" w:hAnsi="宋体" w:hint="eastAsia"/>
          <w:sz w:val="24"/>
        </w:rPr>
        <w:t>标准编制原则</w:t>
      </w:r>
    </w:p>
    <w:p w14:paraId="68913C9A" w14:textId="77777777" w:rsidR="008344F5" w:rsidRDefault="004A30F6">
      <w:pPr>
        <w:spacing w:line="360" w:lineRule="auto"/>
        <w:ind w:firstLineChars="200" w:firstLine="480"/>
        <w:rPr>
          <w:rFonts w:ascii="宋体"/>
          <w:sz w:val="24"/>
        </w:rPr>
      </w:pPr>
      <w:r>
        <w:rPr>
          <w:rFonts w:ascii="宋体" w:hint="eastAsia"/>
          <w:sz w:val="24"/>
        </w:rPr>
        <w:t>以长爪沙鼠原有的单侧颈总动脉结扎模型为基础，</w:t>
      </w:r>
      <w:r>
        <w:rPr>
          <w:rFonts w:ascii="宋体" w:hAnsi="宋体" w:cs="宋体"/>
          <w:sz w:val="24"/>
        </w:rPr>
        <w:t>建立了以症状为导向的再灌注模型制备方法</w:t>
      </w:r>
      <w:r>
        <w:rPr>
          <w:rFonts w:ascii="宋体" w:hAnsi="宋体" w:cs="宋体" w:hint="eastAsia"/>
          <w:sz w:val="24"/>
        </w:rPr>
        <w:t>，有效减少了因Willis环变异缺失类型差异导致的成功率低和稳定性差的问题。成功</w:t>
      </w:r>
      <w:r>
        <w:rPr>
          <w:rFonts w:asciiTheme="minorEastAsia" w:hAnsiTheme="minorEastAsia" w:hint="eastAsia"/>
          <w:sz w:val="24"/>
          <w:szCs w:val="32"/>
        </w:rPr>
        <w:t>填补了长爪沙鼠在I/R模型制备与评价体系的空白。</w:t>
      </w:r>
    </w:p>
    <w:p w14:paraId="26CEC0C1" w14:textId="77777777" w:rsidR="008344F5" w:rsidRDefault="004A30F6">
      <w:pPr>
        <w:spacing w:line="360" w:lineRule="auto"/>
        <w:rPr>
          <w:rFonts w:ascii="宋体" w:eastAsia="黑体" w:hAnsi="宋体" w:hint="eastAsia"/>
          <w:sz w:val="24"/>
        </w:rPr>
      </w:pPr>
      <w:r>
        <w:rPr>
          <w:rFonts w:ascii="宋体" w:eastAsia="黑体" w:hAnsi="宋体" w:hint="eastAsia"/>
          <w:sz w:val="24"/>
        </w:rPr>
        <w:t>五、</w:t>
      </w:r>
      <w:r>
        <w:rPr>
          <w:rFonts w:ascii="宋体" w:eastAsia="黑体" w:hAnsi="宋体" w:hint="eastAsia"/>
          <w:sz w:val="24"/>
        </w:rPr>
        <w:t xml:space="preserve"> </w:t>
      </w:r>
      <w:r>
        <w:rPr>
          <w:rFonts w:ascii="宋体" w:eastAsia="黑体" w:hAnsi="宋体" w:hint="eastAsia"/>
          <w:sz w:val="24"/>
        </w:rPr>
        <w:t>标准主要内容</w:t>
      </w:r>
    </w:p>
    <w:p w14:paraId="64C579AA" w14:textId="77777777" w:rsidR="008344F5" w:rsidRDefault="004A30F6">
      <w:pPr>
        <w:spacing w:line="360" w:lineRule="auto"/>
        <w:rPr>
          <w:rFonts w:ascii="宋体" w:hAnsi="宋体" w:hint="eastAsia"/>
          <w:sz w:val="24"/>
        </w:rPr>
      </w:pPr>
      <w:r>
        <w:rPr>
          <w:rFonts w:ascii="宋体" w:eastAsia="黑体" w:hAnsi="宋体" w:hint="eastAsia"/>
          <w:sz w:val="24"/>
        </w:rPr>
        <w:t xml:space="preserve"> </w:t>
      </w:r>
      <w:r>
        <w:rPr>
          <w:rFonts w:ascii="宋体" w:eastAsia="黑体" w:hAnsi="宋体"/>
          <w:sz w:val="24"/>
        </w:rPr>
        <w:t xml:space="preserve">  </w:t>
      </w:r>
      <w:r>
        <w:rPr>
          <w:rFonts w:ascii="宋体" w:hAnsi="宋体" w:cs="宋体" w:hint="eastAsia"/>
          <w:sz w:val="24"/>
        </w:rPr>
        <w:t xml:space="preserve"> 确立模型制备的标准化流程；</w:t>
      </w:r>
      <w:r>
        <w:rPr>
          <w:rFonts w:ascii="宋体" w:hAnsi="宋体" w:cs="宋体"/>
          <w:sz w:val="24"/>
        </w:rPr>
        <w:t>拟定</w:t>
      </w:r>
      <w:r>
        <w:rPr>
          <w:rFonts w:ascii="宋体" w:hAnsi="宋体" w:cs="宋体" w:hint="eastAsia"/>
          <w:sz w:val="24"/>
        </w:rPr>
        <w:t>神经行为学</w:t>
      </w:r>
      <w:r>
        <w:rPr>
          <w:rFonts w:ascii="宋体" w:hAnsi="宋体" w:cs="宋体"/>
          <w:sz w:val="24"/>
        </w:rPr>
        <w:t>评分标准</w:t>
      </w:r>
      <w:r>
        <w:rPr>
          <w:rFonts w:ascii="宋体" w:hAnsi="宋体" w:cs="宋体" w:hint="eastAsia"/>
          <w:sz w:val="24"/>
        </w:rPr>
        <w:t>；检测成功制备的I/R沙鼠</w:t>
      </w:r>
      <w:proofErr w:type="gramStart"/>
      <w:r>
        <w:rPr>
          <w:rFonts w:ascii="宋体" w:hAnsi="宋体" w:cs="宋体" w:hint="eastAsia"/>
          <w:sz w:val="24"/>
        </w:rPr>
        <w:t>模型随再灌注</w:t>
      </w:r>
      <w:proofErr w:type="gramEnd"/>
      <w:r>
        <w:rPr>
          <w:rFonts w:ascii="宋体" w:hAnsi="宋体" w:cs="宋体" w:hint="eastAsia"/>
          <w:sz w:val="24"/>
        </w:rPr>
        <w:t>时间运动能力、神经行为学症状、梗死</w:t>
      </w:r>
      <w:proofErr w:type="gramStart"/>
      <w:r>
        <w:rPr>
          <w:rFonts w:ascii="宋体" w:hAnsi="宋体" w:cs="宋体" w:hint="eastAsia"/>
          <w:sz w:val="24"/>
        </w:rPr>
        <w:t>灶大小</w:t>
      </w:r>
      <w:proofErr w:type="gramEnd"/>
      <w:r>
        <w:rPr>
          <w:rFonts w:ascii="宋体" w:hAnsi="宋体" w:cs="宋体" w:hint="eastAsia"/>
          <w:sz w:val="24"/>
        </w:rPr>
        <w:t>和组织病理学特征的变化。</w:t>
      </w:r>
    </w:p>
    <w:p w14:paraId="06D94887" w14:textId="77777777" w:rsidR="008344F5" w:rsidRDefault="004A30F6">
      <w:pPr>
        <w:spacing w:line="360" w:lineRule="auto"/>
        <w:rPr>
          <w:rFonts w:ascii="宋体" w:eastAsia="黑体" w:hAnsi="宋体" w:hint="eastAsia"/>
          <w:sz w:val="24"/>
        </w:rPr>
      </w:pPr>
      <w:r>
        <w:rPr>
          <w:rFonts w:ascii="宋体" w:eastAsia="黑体" w:hAnsi="宋体" w:hint="eastAsia"/>
          <w:sz w:val="24"/>
        </w:rPr>
        <w:t>六、</w:t>
      </w:r>
      <w:r>
        <w:rPr>
          <w:rFonts w:ascii="宋体" w:eastAsia="黑体" w:hAnsi="宋体" w:hint="eastAsia"/>
          <w:sz w:val="24"/>
        </w:rPr>
        <w:t xml:space="preserve"> </w:t>
      </w:r>
      <w:r>
        <w:rPr>
          <w:rFonts w:ascii="宋体" w:eastAsia="黑体" w:hAnsi="宋体" w:hint="eastAsia"/>
          <w:sz w:val="24"/>
        </w:rPr>
        <w:t>其他应予说明的事项</w:t>
      </w:r>
    </w:p>
    <w:p w14:paraId="58C00762" w14:textId="77777777" w:rsidR="008344F5" w:rsidRDefault="004A30F6">
      <w:pPr>
        <w:spacing w:line="360" w:lineRule="auto"/>
        <w:ind w:firstLineChars="200" w:firstLine="480"/>
        <w:rPr>
          <w:rFonts w:ascii="Arial" w:eastAsia="仿宋_GB2312" w:hAnsi="Arial" w:cs="Arial"/>
          <w:sz w:val="24"/>
        </w:rPr>
      </w:pPr>
      <w:r>
        <w:rPr>
          <w:rFonts w:ascii="宋体" w:hAnsi="宋体" w:hint="eastAsia"/>
          <w:sz w:val="24"/>
        </w:rPr>
        <w:t>无。</w:t>
      </w:r>
    </w:p>
    <w:p w14:paraId="59E8181C" w14:textId="77777777" w:rsidR="008344F5" w:rsidRDefault="008344F5"/>
    <w:p w14:paraId="37F1DE63" w14:textId="77777777" w:rsidR="008344F5" w:rsidRDefault="008344F5"/>
    <w:sectPr w:rsidR="008344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52FEA" w14:textId="77777777" w:rsidR="008451BF" w:rsidRDefault="008451BF" w:rsidP="00F3349F">
      <w:r>
        <w:separator/>
      </w:r>
    </w:p>
  </w:endnote>
  <w:endnote w:type="continuationSeparator" w:id="0">
    <w:p w14:paraId="5B36CC6F" w14:textId="77777777" w:rsidR="008451BF" w:rsidRDefault="008451BF" w:rsidP="00F33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ヒラギノ角ゴ Pro W3">
    <w:altName w:val="MS Gothic"/>
    <w:charset w:val="80"/>
    <w:family w:val="auto"/>
    <w:pitch w:val="default"/>
    <w:sig w:usb0="00000000" w:usb1="00000000" w:usb2="00000012" w:usb3="00000000" w:csb0="0002000D" w:csb1="00000000"/>
  </w:font>
  <w:font w:name="Arial">
    <w:panose1 w:val="020B0604020202020204"/>
    <w:charset w:val="00"/>
    <w:family w:val="swiss"/>
    <w:pitch w:val="variable"/>
    <w:sig w:usb0="E0002EFF" w:usb1="C000785B" w:usb2="00000009" w:usb3="00000000" w:csb0="000001FF" w:csb1="00000000"/>
  </w:font>
  <w:font w:name="华文宋体">
    <w:panose1 w:val="02010600040101010101"/>
    <w:charset w:val="86"/>
    <w:family w:val="auto"/>
    <w:pitch w:val="variable"/>
    <w:sig w:usb0="00000287" w:usb1="080F0000" w:usb2="00000010" w:usb3="00000000" w:csb0="0004009F" w:csb1="00000000"/>
  </w:font>
  <w:font w:name="仿宋_GB2312">
    <w:altName w:val="仿宋"/>
    <w:charset w:val="86"/>
    <w:family w:val="swiss"/>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D0DD9" w14:textId="77777777" w:rsidR="008451BF" w:rsidRDefault="008451BF" w:rsidP="00F3349F">
      <w:r>
        <w:separator/>
      </w:r>
    </w:p>
  </w:footnote>
  <w:footnote w:type="continuationSeparator" w:id="0">
    <w:p w14:paraId="788E1EAA" w14:textId="77777777" w:rsidR="008451BF" w:rsidRDefault="008451BF" w:rsidP="00F334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BkZDBiNjUyN2VkMmY4ZWRjOWFjMTc2NWQ2NTVkNTcifQ=="/>
    <w:docVar w:name="currentStyleCount" w:val="5"/>
  </w:docVars>
  <w:rsids>
    <w:rsidRoot w:val="008344F5"/>
    <w:rsid w:val="0018591F"/>
    <w:rsid w:val="004A30F6"/>
    <w:rsid w:val="008344F5"/>
    <w:rsid w:val="0083702F"/>
    <w:rsid w:val="008451BF"/>
    <w:rsid w:val="00A22F4B"/>
    <w:rsid w:val="00C126C5"/>
    <w:rsid w:val="00E24F92"/>
    <w:rsid w:val="00E345E5"/>
    <w:rsid w:val="00F3349F"/>
    <w:rsid w:val="02155CF3"/>
    <w:rsid w:val="1740460A"/>
    <w:rsid w:val="1F772DE5"/>
    <w:rsid w:val="452C032D"/>
    <w:rsid w:val="7B786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6C43BE"/>
  <w15:docId w15:val="{E1DFC533-4BE7-4453-8E0E-16B4300F8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3">
    <w:name w:val="heading 3"/>
    <w:basedOn w:val="a"/>
    <w:next w:val="a"/>
    <w:qFormat/>
    <w:pPr>
      <w:keepNext/>
      <w:keepLines/>
      <w:spacing w:before="260" w:after="260" w:line="413"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封面标准名称"/>
    <w:pPr>
      <w:widowControl w:val="0"/>
      <w:spacing w:line="680" w:lineRule="exact"/>
      <w:jc w:val="center"/>
      <w:textAlignment w:val="center"/>
    </w:pPr>
    <w:rPr>
      <w:rFonts w:ascii="黑体" w:eastAsia="黑体" w:hAnsi="Times New Roman" w:cs="Times New Roman"/>
      <w:sz w:val="52"/>
    </w:rPr>
  </w:style>
  <w:style w:type="paragraph" w:customStyle="1" w:styleId="AA">
    <w:name w:val="正文 A A"/>
    <w:qFormat/>
    <w:pPr>
      <w:widowControl w:val="0"/>
      <w:jc w:val="both"/>
    </w:pPr>
    <w:rPr>
      <w:rFonts w:ascii="Calibri" w:eastAsia="ヒラギノ角ゴ Pro W3" w:hAnsi="Calibri" w:cs="Times New Roman"/>
      <w:color w:val="000000"/>
      <w:kern w:val="2"/>
      <w:sz w:val="21"/>
      <w:szCs w:val="22"/>
    </w:rPr>
  </w:style>
  <w:style w:type="paragraph" w:styleId="a4">
    <w:name w:val="Revision"/>
    <w:hidden/>
    <w:uiPriority w:val="99"/>
    <w:semiHidden/>
    <w:rsid w:val="00F3349F"/>
    <w:rPr>
      <w:rFonts w:ascii="Times New Roman" w:eastAsia="宋体" w:hAnsi="Times New Roman" w:cs="Times New Roman"/>
      <w:kern w:val="2"/>
      <w:sz w:val="21"/>
      <w:szCs w:val="24"/>
    </w:rPr>
  </w:style>
  <w:style w:type="paragraph" w:styleId="a5">
    <w:name w:val="header"/>
    <w:basedOn w:val="a"/>
    <w:link w:val="a6"/>
    <w:rsid w:val="00F3349F"/>
    <w:pPr>
      <w:tabs>
        <w:tab w:val="center" w:pos="4153"/>
        <w:tab w:val="right" w:pos="8306"/>
      </w:tabs>
      <w:snapToGrid w:val="0"/>
      <w:jc w:val="center"/>
    </w:pPr>
    <w:rPr>
      <w:sz w:val="18"/>
      <w:szCs w:val="18"/>
    </w:rPr>
  </w:style>
  <w:style w:type="character" w:customStyle="1" w:styleId="a6">
    <w:name w:val="页眉 字符"/>
    <w:basedOn w:val="a0"/>
    <w:link w:val="a5"/>
    <w:rsid w:val="00F3349F"/>
    <w:rPr>
      <w:rFonts w:ascii="Times New Roman" w:eastAsia="宋体" w:hAnsi="Times New Roman" w:cs="Times New Roman"/>
      <w:kern w:val="2"/>
      <w:sz w:val="18"/>
      <w:szCs w:val="18"/>
    </w:rPr>
  </w:style>
  <w:style w:type="paragraph" w:styleId="a7">
    <w:name w:val="footer"/>
    <w:basedOn w:val="a"/>
    <w:link w:val="a8"/>
    <w:rsid w:val="00F3349F"/>
    <w:pPr>
      <w:tabs>
        <w:tab w:val="center" w:pos="4153"/>
        <w:tab w:val="right" w:pos="8306"/>
      </w:tabs>
      <w:snapToGrid w:val="0"/>
      <w:jc w:val="left"/>
    </w:pPr>
    <w:rPr>
      <w:sz w:val="18"/>
      <w:szCs w:val="18"/>
    </w:rPr>
  </w:style>
  <w:style w:type="character" w:customStyle="1" w:styleId="a8">
    <w:name w:val="页脚 字符"/>
    <w:basedOn w:val="a0"/>
    <w:link w:val="a7"/>
    <w:rsid w:val="00F3349F"/>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193</Words>
  <Characters>1101</Characters>
  <Application>Microsoft Office Word</Application>
  <DocSecurity>0</DocSecurity>
  <Lines>9</Lines>
  <Paragraphs>2</Paragraphs>
  <ScaleCrop>false</ScaleCrop>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51wuying</dc:creator>
  <cp:lastModifiedBy>xiaoyan du</cp:lastModifiedBy>
  <cp:revision>3</cp:revision>
  <dcterms:created xsi:type="dcterms:W3CDTF">2025-04-19T14:12:00Z</dcterms:created>
  <dcterms:modified xsi:type="dcterms:W3CDTF">2025-04-19T14:12:00Z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F04C428A8C7B439F9026753FA51CE6D8_12</vt:lpwstr>
  </property>
</Properties>
</file>